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20"/>
      </w:pPr>
      <w:r>
        <w:rPr>
          <w:b/>
          <w:color w:val="1A3C5E"/>
          <w:sz w:val="32"/>
        </w:rPr>
        <w:t>IDP LIMITED — RELATED PARTY TRANSACTION DISCLOSURES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9072"/>
      </w:tblGrid>
      <w:tr>
        <w:tc>
          <w:tcPr>
            <w:tcW w:type="dxa" w:w="9072"/>
            <w:shd w:fill="EBF3FB" w:val="clear"/>
          </w:tcPr>
          <w:p>
            <w:r/>
            <w:r>
              <w:rPr>
                <w:i/>
                <w:color w:val="1A3C5E"/>
                <w:sz w:val="20"/>
              </w:rPr>
              <w:t>FY2024-25 Annual Report  |  As required under Schedule V, Part A of Companies Act 2013 &amp; Ind AS 24</w:t>
              <w:br/>
              <w:t>Prepared by: Finance / Company Secretary  |  Board Approved: 28 September 2025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A. List of Related Parties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504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Related Party</w:t>
            </w:r>
          </w:p>
        </w:tc>
        <w:tc>
          <w:tcPr>
            <w:tcW w:type="dxa" w:w="64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Relationship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Holding Company — holds 74% equity in IDP Limited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IDP Infra Services Ltd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Associate Company — IDP Limited holds 30% stake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Mr. Rajesh Iyer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Key Managerial Personnel — Managing Director</w:t>
            </w:r>
          </w:p>
        </w:tc>
      </w:tr>
      <w:tr>
        <w:tc>
          <w:tcPr>
            <w:tcW w:type="dxa" w:w="5040"/>
            <w:shd w:fill="FFFFFF" w:val="clear"/>
          </w:tcPr>
          <w:p>
            <w:r/>
            <w:r>
              <w:rPr>
                <w:sz w:val="20"/>
              </w:rPr>
              <w:t>Mrs. Sunita Iyer</w:t>
            </w:r>
          </w:p>
        </w:tc>
        <w:tc>
          <w:tcPr>
            <w:tcW w:type="dxa" w:w="6480"/>
            <w:shd w:fill="FFFFFF" w:val="clear"/>
          </w:tcPr>
          <w:p>
            <w:r/>
            <w:r>
              <w:rPr>
                <w:sz w:val="20"/>
              </w:rPr>
              <w:t>Relative of KMP — Director</w:t>
            </w:r>
          </w:p>
        </w:tc>
      </w:tr>
      <w:tr>
        <w:tc>
          <w:tcPr>
            <w:tcW w:type="dxa" w:w="5040"/>
            <w:shd w:fill="F5F7FA" w:val="clear"/>
          </w:tcPr>
          <w:p>
            <w:r/>
            <w:r>
              <w:rPr>
                <w:sz w:val="20"/>
              </w:rPr>
              <w:t>Iyer Family Trust</w:t>
            </w:r>
          </w:p>
        </w:tc>
        <w:tc>
          <w:tcPr>
            <w:tcW w:type="dxa" w:w="6480"/>
            <w:shd w:fill="F5F7FA" w:val="clear"/>
          </w:tcPr>
          <w:p>
            <w:r/>
            <w:r>
              <w:rPr>
                <w:sz w:val="20"/>
              </w:rPr>
              <w:t>Entity in which KMP has significant interest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B. Transactions with Related Parties (FY2024-25)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316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Nature of Transaction</w:t>
            </w:r>
          </w:p>
        </w:tc>
        <w:tc>
          <w:tcPr>
            <w:tcW w:type="dxa" w:w="2592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Related Party</w:t>
            </w:r>
          </w:p>
        </w:tc>
        <w:tc>
          <w:tcPr>
            <w:tcW w:type="dxa" w:w="158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Relationship</w:t>
            </w:r>
          </w:p>
        </w:tc>
        <w:tc>
          <w:tcPr>
            <w:tcW w:type="dxa" w:w="1728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(Rs)</w:t>
            </w:r>
          </w:p>
        </w:tc>
        <w:tc>
          <w:tcPr>
            <w:tcW w:type="dxa" w:w="1296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Arms Length?</w:t>
            </w:r>
          </w:p>
        </w:tc>
        <w:tc>
          <w:tcPr>
            <w:tcW w:type="dxa" w:w="1584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Board Approval</w:t>
            </w:r>
          </w:p>
        </w:tc>
      </w:tr>
      <w:tr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Purchase of raw materials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Holding Co.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4,20,00,000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Yes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Yes — 15-Apr-24</w:t>
            </w:r>
          </w:p>
        </w:tc>
      </w:tr>
      <w:tr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Rent paid for factory premises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IDP Infra Services Ltd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Associate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18,00,000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Yes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Yes — 15-Apr-24</w:t>
            </w:r>
          </w:p>
        </w:tc>
      </w:tr>
      <w:tr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Loan received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Holding Co.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1,00,00,000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Yes (at 9% p.a.)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Yes — 01-Jul-24</w:t>
            </w:r>
          </w:p>
        </w:tc>
      </w:tr>
      <w:tr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Interest paid on above loan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Holding Co.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4,50,000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Yes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N/A (auto)</w:t>
            </w:r>
          </w:p>
        </w:tc>
      </w:tr>
      <w:tr>
        <w:tc>
          <w:tcPr>
            <w:tcW w:type="dxa" w:w="3168"/>
            <w:shd w:fill="F5F7FA" w:val="clear"/>
          </w:tcPr>
          <w:p>
            <w:r/>
            <w:r>
              <w:rPr>
                <w:sz w:val="20"/>
              </w:rPr>
              <w:t>Managerial remuneration</w:t>
            </w:r>
          </w:p>
        </w:tc>
        <w:tc>
          <w:tcPr>
            <w:tcW w:type="dxa" w:w="2592"/>
            <w:shd w:fill="F5F7FA" w:val="clear"/>
          </w:tcPr>
          <w:p>
            <w:r/>
            <w:r>
              <w:rPr>
                <w:sz w:val="20"/>
              </w:rPr>
              <w:t>Mr. Rajesh Iyer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MD</w:t>
            </w:r>
          </w:p>
        </w:tc>
        <w:tc>
          <w:tcPr>
            <w:tcW w:type="dxa" w:w="1728"/>
            <w:shd w:fill="F5F7FA" w:val="clear"/>
          </w:tcPr>
          <w:p>
            <w:r/>
            <w:r>
              <w:rPr>
                <w:sz w:val="20"/>
              </w:rPr>
              <w:t>72,00,000</w:t>
            </w:r>
          </w:p>
        </w:tc>
        <w:tc>
          <w:tcPr>
            <w:tcW w:type="dxa" w:w="1296"/>
            <w:shd w:fill="F5F7FA" w:val="clear"/>
          </w:tcPr>
          <w:p>
            <w:r/>
            <w:r>
              <w:rPr>
                <w:sz w:val="20"/>
              </w:rPr>
              <w:t>As per Sec 197</w:t>
            </w:r>
          </w:p>
        </w:tc>
        <w:tc>
          <w:tcPr>
            <w:tcW w:type="dxa" w:w="1584"/>
            <w:shd w:fill="F5F7FA" w:val="clear"/>
          </w:tcPr>
          <w:p>
            <w:r/>
            <w:r>
              <w:rPr>
                <w:sz w:val="20"/>
              </w:rPr>
              <w:t>Shareholders approval</w:t>
            </w:r>
          </w:p>
        </w:tc>
      </w:tr>
      <w:tr>
        <w:tc>
          <w:tcPr>
            <w:tcW w:type="dxa" w:w="3168"/>
            <w:shd w:fill="FFFFFF" w:val="clear"/>
          </w:tcPr>
          <w:p>
            <w:r/>
            <w:r>
              <w:rPr>
                <w:sz w:val="20"/>
              </w:rPr>
              <w:t>Director's sitting fees</w:t>
            </w:r>
          </w:p>
        </w:tc>
        <w:tc>
          <w:tcPr>
            <w:tcW w:type="dxa" w:w="2592"/>
            <w:shd w:fill="FFFFFF" w:val="clear"/>
          </w:tcPr>
          <w:p>
            <w:r/>
            <w:r>
              <w:rPr>
                <w:sz w:val="20"/>
              </w:rPr>
              <w:t>Mrs. Sunita Iyer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Director/KMP rel.</w:t>
            </w:r>
          </w:p>
        </w:tc>
        <w:tc>
          <w:tcPr>
            <w:tcW w:type="dxa" w:w="1728"/>
            <w:shd w:fill="FFFFFF" w:val="clear"/>
          </w:tcPr>
          <w:p>
            <w:r/>
            <w:r>
              <w:rPr>
                <w:sz w:val="20"/>
              </w:rPr>
              <w:t>4,00,000</w:t>
            </w:r>
          </w:p>
        </w:tc>
        <w:tc>
          <w:tcPr>
            <w:tcW w:type="dxa" w:w="1296"/>
            <w:shd w:fill="FFFFFF" w:val="clear"/>
          </w:tcPr>
          <w:p>
            <w:r/>
            <w:r>
              <w:rPr>
                <w:sz w:val="20"/>
              </w:rPr>
              <w:t>Per policy</w:t>
            </w:r>
          </w:p>
        </w:tc>
        <w:tc>
          <w:tcPr>
            <w:tcW w:type="dxa" w:w="1584"/>
            <w:shd w:fill="FFFFFF" w:val="clear"/>
          </w:tcPr>
          <w:p>
            <w:r/>
            <w:r>
              <w:rPr>
                <w:sz w:val="20"/>
              </w:rPr>
              <w:t>N/A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C. Outstanding Balances as at 31 March 2025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Related Party</w:t>
            </w:r>
          </w:p>
        </w:tc>
        <w:tc>
          <w:tcPr>
            <w:tcW w:type="dxa" w:w="432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Nature</w:t>
            </w:r>
          </w:p>
        </w:tc>
        <w:tc>
          <w:tcPr>
            <w:tcW w:type="dxa" w:w="2880"/>
            <w:shd w:fill="1A3C5E" w:val="clear"/>
          </w:tcPr>
          <w:p>
            <w:r/>
            <w:r>
              <w:rPr>
                <w:b/>
                <w:color w:val="FFFFFF"/>
                <w:sz w:val="20"/>
              </w:rPr>
              <w:t>Amount Receivable / (Payable)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Trade payable — material purchases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(38,40,000)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Loan payable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(1,00,00,000)</w:t>
            </w:r>
          </w:p>
        </w:tc>
      </w:tr>
      <w:tr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IDP Holdings Pvt Ltd</w:t>
            </w:r>
          </w:p>
        </w:tc>
        <w:tc>
          <w:tcPr>
            <w:tcW w:type="dxa" w:w="4320"/>
            <w:shd w:fill="F5F7FA" w:val="clear"/>
          </w:tcPr>
          <w:p>
            <w:r/>
            <w:r>
              <w:rPr>
                <w:sz w:val="20"/>
              </w:rPr>
              <w:t>Interest payable</w:t>
            </w:r>
          </w:p>
        </w:tc>
        <w:tc>
          <w:tcPr>
            <w:tcW w:type="dxa" w:w="2880"/>
            <w:shd w:fill="F5F7FA" w:val="clear"/>
          </w:tcPr>
          <w:p>
            <w:r/>
            <w:r>
              <w:rPr>
                <w:sz w:val="20"/>
              </w:rPr>
              <w:t>(1,12,500)</w:t>
            </w:r>
          </w:p>
        </w:tc>
      </w:tr>
      <w:tr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IDP Infra Services Ltd</w:t>
            </w:r>
          </w:p>
        </w:tc>
        <w:tc>
          <w:tcPr>
            <w:tcW w:type="dxa" w:w="4320"/>
            <w:shd w:fill="FFFFFF" w:val="clear"/>
          </w:tcPr>
          <w:p>
            <w:r/>
            <w:r>
              <w:rPr>
                <w:sz w:val="20"/>
              </w:rPr>
              <w:t>Rent payable</w:t>
            </w:r>
          </w:p>
        </w:tc>
        <w:tc>
          <w:tcPr>
            <w:tcW w:type="dxa" w:w="2880"/>
            <w:shd w:fill="FFFFFF" w:val="clear"/>
          </w:tcPr>
          <w:p>
            <w:r/>
            <w:r>
              <w:rPr>
                <w:sz w:val="20"/>
              </w:rPr>
              <w:t>(1,50,000)</w:t>
            </w:r>
          </w:p>
        </w:tc>
      </w:tr>
    </w:tbl>
    <w:p>
      <w:pPr>
        <w:spacing w:before="200" w:after="80"/>
      </w:pPr>
      <w:r>
        <w:rPr>
          <w:b/>
          <w:color w:val="2B7CB8"/>
          <w:sz w:val="26"/>
        </w:rPr>
        <w:t>D. Notes to Disclosure</w:t>
      </w:r>
    </w:p>
    <w:p>
      <w:pPr>
        <w:pStyle w:val="ListBullet"/>
        <w:spacing w:after="60"/>
      </w:pPr>
      <w:r>
        <w:rPr>
          <w:b w:val="0"/>
          <w:sz w:val="22"/>
        </w:rPr>
        <w:t>All transactions with related parties are conducted at arm's length on commercial terms, unless specifically noted otherwise.</w:t>
      </w:r>
    </w:p>
    <w:p>
      <w:pPr>
        <w:pStyle w:val="ListBullet"/>
        <w:spacing w:after="60"/>
      </w:pPr>
      <w:r>
        <w:rPr>
          <w:b w:val="0"/>
          <w:sz w:val="22"/>
        </w:rPr>
        <w:t>The loan from IDP Holdings Pvt Ltd carries interest at 9% per annum — consistent with market rates for inter-company lending as confirmed by an independent valuer.</w:t>
      </w:r>
    </w:p>
    <w:p>
      <w:pPr>
        <w:pStyle w:val="ListBullet"/>
        <w:spacing w:after="60"/>
      </w:pPr>
      <w:r>
        <w:rPr>
          <w:b w:val="0"/>
          <w:sz w:val="22"/>
        </w:rPr>
        <w:t>No amounts have been written off or written back in respect of debts due from or to related parties during the year.</w:t>
      </w:r>
    </w:p>
    <w:sectPr w:rsidR="00FC693F" w:rsidRPr="0006063C" w:rsidSect="00034616">
      <w:pgSz w:w="12240" w:h="15840"/>
      <w:pgMar w:top="1440" w:right="1584" w:bottom="1440" w:left="158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